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E30438" w:rsidRDefault="003E760B" w:rsidP="00E30438">
      <w:pPr>
        <w:pStyle w:val="5"/>
      </w:pPr>
      <w:r w:rsidRPr="00E30438">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E30438" w:rsidRDefault="0061537C" w:rsidP="0061537C">
      <w:pPr>
        <w:pStyle w:val="Default"/>
        <w:tabs>
          <w:tab w:val="left" w:pos="6645"/>
        </w:tabs>
        <w:jc w:val="center"/>
        <w:rPr>
          <w:b/>
          <w:sz w:val="23"/>
          <w:szCs w:val="23"/>
        </w:rPr>
      </w:pPr>
      <w:r w:rsidRPr="00E30438">
        <w:rPr>
          <w:b/>
          <w:sz w:val="28"/>
          <w:szCs w:val="28"/>
        </w:rPr>
        <w:t>38.02.08 Торговое дело</w:t>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9E756B"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32099F">
              <w:rPr>
                <w:rFonts w:ascii="Times New Roman" w:hAnsi="Times New Roman" w:cs="Times New Roman"/>
                <w:bCs/>
                <w:sz w:val="28"/>
                <w:szCs w:val="28"/>
              </w:rPr>
              <w:t>№ 14</w:t>
            </w:r>
            <w:r>
              <w:rPr>
                <w:rFonts w:ascii="Times New Roman" w:hAnsi="Times New Roman" w:cs="Times New Roman"/>
                <w:bCs/>
                <w:sz w:val="28"/>
                <w:szCs w:val="28"/>
              </w:rPr>
              <w:t xml:space="preserve">от </w:t>
            </w:r>
            <w:r w:rsidR="006E75DF">
              <w:rPr>
                <w:rFonts w:ascii="Times New Roman" w:hAnsi="Times New Roman" w:cs="Times New Roman"/>
                <w:bCs/>
                <w:sz w:val="28"/>
                <w:szCs w:val="28"/>
              </w:rPr>
              <w:t xml:space="preserve">28 </w:t>
            </w:r>
            <w:r>
              <w:rPr>
                <w:rFonts w:ascii="Times New Roman" w:hAnsi="Times New Roman" w:cs="Times New Roman"/>
                <w:bCs/>
                <w:sz w:val="28"/>
                <w:szCs w:val="28"/>
              </w:rPr>
              <w:t>июня</w:t>
            </w:r>
            <w:r w:rsidR="009E756B">
              <w:rPr>
                <w:rFonts w:ascii="Times New Roman" w:hAnsi="Times New Roman" w:cs="Times New Roman"/>
                <w:bCs/>
                <w:sz w:val="28"/>
                <w:szCs w:val="28"/>
              </w:rPr>
              <w:t xml:space="preserve"> 2024</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E47F4C">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E47F4C">
              <w:rPr>
                <w:rFonts w:ascii="Times New Roman" w:hAnsi="Times New Roman" w:cs="Times New Roman"/>
                <w:bCs/>
                <w:color w:val="000000"/>
                <w:sz w:val="28"/>
                <w:szCs w:val="28"/>
              </w:rPr>
              <w:t>30</w:t>
            </w:r>
            <w:bookmarkStart w:id="2" w:name="_GoBack"/>
            <w:bookmarkEnd w:id="2"/>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августа  2024</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 xml:space="preserve">по специальности </w:t>
      </w:r>
      <w:r w:rsidR="0061537C" w:rsidRPr="0061537C">
        <w:rPr>
          <w:rFonts w:ascii="Times New Roman" w:hAnsi="Times New Roman" w:cs="Times New Roman"/>
          <w:sz w:val="28"/>
          <w:szCs w:val="28"/>
        </w:rPr>
        <w:t>38.02.08 Торговое дело</w:t>
      </w:r>
      <w:r w:rsidR="00D542C3" w:rsidRPr="00901EF1">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E30438">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 xml:space="preserve">освещения России от </w:t>
      </w:r>
      <w:r w:rsidR="0061537C">
        <w:rPr>
          <w:rFonts w:ascii="Times New Roman" w:hAnsi="Times New Roman" w:cs="Times New Roman"/>
          <w:sz w:val="28"/>
          <w:szCs w:val="28"/>
        </w:rPr>
        <w:t>19.07.2023 №548</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w:t>
      </w:r>
      <w:r w:rsidR="008520A5">
        <w:rPr>
          <w:rFonts w:ascii="Times New Roman" w:hAnsi="Times New Roman" w:cs="Times New Roman"/>
          <w:sz w:val="28"/>
          <w:szCs w:val="28"/>
        </w:rPr>
        <w:t>икационные сети и системы связи».</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 </w:t>
      </w:r>
      <w:r w:rsidR="003E760B"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lastRenderedPageBreak/>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3E760B" w:rsidP="00D542C3">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61537C" w:rsidRPr="0061537C">
        <w:rPr>
          <w:sz w:val="28"/>
          <w:szCs w:val="28"/>
        </w:rPr>
        <w:t>38.02.08 Торговое дело</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E30438">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E30438">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E30438">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E30438">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61537C" w:rsidRPr="0061537C">
        <w:rPr>
          <w:rFonts w:ascii="Times New Roman" w:hAnsi="Times New Roman" w:cs="Times New Roman"/>
          <w:color w:val="000000"/>
          <w:sz w:val="28"/>
          <w:szCs w:val="28"/>
        </w:rPr>
        <w:t>38.02.08 Торговое дело</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перечислять и классифицировать опасности, связанные с поведением </w:t>
            </w:r>
            <w:r w:rsidRPr="00E5337A">
              <w:rPr>
                <w:rFonts w:ascii="Times New Roman" w:hAnsi="Times New Roman" w:cs="Times New Roman"/>
                <w:sz w:val="24"/>
                <w:szCs w:val="24"/>
              </w:rPr>
              <w:lastRenderedPageBreak/>
              <w:t>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lastRenderedPageBreak/>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w:t>
            </w:r>
            <w:r w:rsidRPr="0032099F">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w:t>
            </w:r>
            <w:r w:rsidRPr="00E5337A">
              <w:rPr>
                <w:rFonts w:ascii="Times New Roman" w:hAnsi="Times New Roman" w:cs="Times New Roman"/>
                <w:sz w:val="24"/>
                <w:szCs w:val="24"/>
              </w:rPr>
              <w:lastRenderedPageBreak/>
              <w:t>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Вооружённых Сил </w:t>
            </w:r>
            <w:r w:rsidR="003C504E" w:rsidRPr="00E5337A">
              <w:rPr>
                <w:rFonts w:ascii="Times New Roman" w:hAnsi="Times New Roman" w:cs="Times New Roman"/>
                <w:sz w:val="24"/>
                <w:szCs w:val="24"/>
              </w:rPr>
              <w:lastRenderedPageBreak/>
              <w:t>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w:t>
            </w:r>
            <w:r w:rsidRPr="00E5337A">
              <w:rPr>
                <w:rFonts w:ascii="Times New Roman" w:hAnsi="Times New Roman" w:cs="Times New Roman"/>
                <w:sz w:val="24"/>
                <w:szCs w:val="24"/>
              </w:rPr>
              <w:lastRenderedPageBreak/>
              <w:t>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знаний об элементах начальной военной подготовки; овладение знаниями требований безопасности при обращении со стрелковым оружием; </w:t>
            </w:r>
            <w:r w:rsidRPr="00E5337A">
              <w:rPr>
                <w:rFonts w:ascii="Times New Roman" w:hAnsi="Times New Roman" w:cs="Times New Roman"/>
                <w:sz w:val="24"/>
                <w:szCs w:val="24"/>
              </w:rPr>
              <w:lastRenderedPageBreak/>
              <w:t>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E30438" w:rsidRDefault="00EC7121" w:rsidP="00E30438">
            <w:pPr>
              <w:pStyle w:val="af1"/>
              <w:keepNext w:val="0"/>
              <w:keepLines w:val="0"/>
              <w:spacing w:before="0" w:after="160" w:line="259" w:lineRule="auto"/>
              <w:rPr>
                <w:rFonts w:eastAsiaTheme="minorHAnsi"/>
                <w:lang w:eastAsia="en-US"/>
              </w:rPr>
            </w:pPr>
            <w:r w:rsidRPr="00E30438">
              <w:rPr>
                <w:rFonts w:eastAsiaTheme="minorHAnsi"/>
                <w:lang w:eastAsia="en-US"/>
              </w:rPr>
              <w:lastRenderedPageBreak/>
              <w:t xml:space="preserve">ОК 07. Содействовать сохранению окружающей среды, </w:t>
            </w:r>
            <w:r w:rsidRPr="00E30438">
              <w:rPr>
                <w:rFonts w:eastAsiaTheme="minorHAnsi"/>
                <w:lang w:eastAsia="en-US"/>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экологической культуры, понимание влияния социально-экономических процессов на </w:t>
            </w:r>
            <w:r w:rsidRPr="00E5337A">
              <w:rPr>
                <w:rFonts w:ascii="Times New Roman" w:hAnsi="Times New Roman" w:cs="Times New Roman"/>
                <w:sz w:val="24"/>
                <w:szCs w:val="24"/>
              </w:rPr>
              <w:lastRenderedPageBreak/>
              <w:t>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выделять и классифицировать источники опасности в природной </w:t>
            </w:r>
            <w:r w:rsidRPr="00E5337A">
              <w:rPr>
                <w:rFonts w:ascii="Times New Roman" w:hAnsi="Times New Roman" w:cs="Times New Roman"/>
                <w:sz w:val="24"/>
                <w:szCs w:val="24"/>
              </w:rPr>
              <w:lastRenderedPageBreak/>
              <w:t>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 xml:space="preserve">называть и характеризовать </w:t>
            </w:r>
            <w:r w:rsidR="00601603" w:rsidRPr="00E5337A">
              <w:rPr>
                <w:rFonts w:ascii="Times New Roman" w:hAnsi="Times New Roman" w:cs="Times New Roman"/>
                <w:sz w:val="24"/>
                <w:szCs w:val="24"/>
              </w:rPr>
              <w:lastRenderedPageBreak/>
              <w:t>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30438" w:rsidRDefault="00E30438" w:rsidP="00E30438">
            <w:pPr>
              <w:pStyle w:val="a8"/>
              <w:tabs>
                <w:tab w:val="left" w:pos="511"/>
              </w:tabs>
              <w:ind w:left="0"/>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IIK 3.3. Проводить</w:t>
            </w:r>
            <w:r>
              <w:rPr>
                <w:rFonts w:ascii="Times New Roman" w:eastAsiaTheme="minorHAnsi" w:hAnsi="Times New Roman"/>
                <w:sz w:val="24"/>
                <w:szCs w:val="24"/>
                <w:lang w:eastAsia="en-US"/>
              </w:rPr>
              <w:tab/>
              <w:t xml:space="preserve">сбор, мониторинг </w:t>
            </w:r>
            <w:r w:rsidRPr="00E30438">
              <w:rPr>
                <w:rFonts w:ascii="Times New Roman" w:eastAsiaTheme="minorHAnsi" w:hAnsi="Times New Roman"/>
                <w:sz w:val="24"/>
                <w:szCs w:val="24"/>
                <w:lang w:eastAsia="en-US"/>
              </w:rPr>
              <w:t>и систематизацию ценовых показателей товаров, в том</w:t>
            </w:r>
            <w:r>
              <w:rPr>
                <w:rFonts w:ascii="Times New Roman" w:eastAsiaTheme="minorHAnsi" w:hAnsi="Times New Roman"/>
                <w:sz w:val="24"/>
                <w:szCs w:val="24"/>
                <w:lang w:eastAsia="en-US"/>
              </w:rPr>
              <w:t xml:space="preserve"> числе</w:t>
            </w:r>
            <w:r>
              <w:rPr>
                <w:rFonts w:ascii="Times New Roman" w:eastAsiaTheme="minorHAnsi" w:hAnsi="Times New Roman"/>
                <w:sz w:val="24"/>
                <w:szCs w:val="24"/>
                <w:lang w:eastAsia="en-US"/>
              </w:rPr>
              <w:tab/>
              <w:t xml:space="preserve">с использованием </w:t>
            </w:r>
            <w:r w:rsidRPr="00E30438">
              <w:rPr>
                <w:rFonts w:ascii="Times New Roman" w:eastAsiaTheme="minorHAnsi" w:hAnsi="Times New Roman"/>
                <w:sz w:val="24"/>
                <w:szCs w:val="24"/>
                <w:lang w:eastAsia="en-US"/>
              </w:rPr>
              <w:t>информационных</w:t>
            </w:r>
            <w:r>
              <w:rPr>
                <w:rFonts w:ascii="Times New Roman" w:eastAsiaTheme="minorHAnsi" w:hAnsi="Times New Roman"/>
                <w:sz w:val="24"/>
                <w:szCs w:val="24"/>
                <w:lang w:eastAsia="en-US"/>
              </w:rPr>
              <w:t xml:space="preserve"> </w:t>
            </w:r>
            <w:r w:rsidRPr="00E30438">
              <w:rPr>
                <w:rFonts w:ascii="Times New Roman" w:eastAsiaTheme="minorHAnsi" w:hAnsi="Times New Roman"/>
                <w:sz w:val="24"/>
                <w:szCs w:val="24"/>
                <w:lang w:eastAsia="en-US"/>
              </w:rPr>
              <w:t>интеллектуальных технологий.</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lastRenderedPageBreak/>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опасности в общественных местах социально-психологического характера (возникновение толпы и давки; проявление агрессии; криминогенные ситуации; </w:t>
            </w:r>
            <w:r w:rsidRPr="0073037C">
              <w:rPr>
                <w:rFonts w:ascii="Times New Roman" w:eastAsia="Times New Roman" w:hAnsi="Times New Roman" w:cs="Times New Roman"/>
                <w:bCs/>
                <w:sz w:val="24"/>
                <w:szCs w:val="24"/>
              </w:rPr>
              <w:lastRenderedPageBreak/>
              <w:t>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деструктивные и псевдопсихологические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 xml:space="preserve">Культура безопасности жизнедеятельности в </w:t>
            </w:r>
            <w:r w:rsidRPr="0073037C">
              <w:rPr>
                <w:rFonts w:ascii="Times New Roman" w:hAnsi="Times New Roman" w:cs="Times New Roman"/>
                <w:sz w:val="24"/>
                <w:szCs w:val="24"/>
              </w:rPr>
              <w:lastRenderedPageBreak/>
              <w:t>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природные чрезвычайные ситуации, вызванные опасными геологическими явлениями и процессами: землетрясения, извержение вулканов, оползни, </w:t>
            </w:r>
            <w:r w:rsidRPr="009C6B2B">
              <w:rPr>
                <w:rFonts w:ascii="Times New Roman" w:eastAsia="Times New Roman" w:hAnsi="Times New Roman" w:cs="Times New Roman"/>
                <w:bCs/>
                <w:sz w:val="24"/>
                <w:szCs w:val="24"/>
              </w:rPr>
              <w:lastRenderedPageBreak/>
              <w:t>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 xml:space="preserve">«Основы медицинских знаний. </w:t>
            </w:r>
            <w:r>
              <w:rPr>
                <w:rFonts w:ascii="Times New Roman" w:hAnsi="Times New Roman" w:cs="Times New Roman"/>
                <w:sz w:val="24"/>
                <w:szCs w:val="24"/>
              </w:rPr>
              <w:lastRenderedPageBreak/>
              <w:t>Оказание помощи»</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B237F0"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B237F0">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B237F0"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E30438" w:rsidP="008520A5">
            <w:pPr>
              <w:pStyle w:val="a8"/>
              <w:tabs>
                <w:tab w:val="left" w:pos="511"/>
              </w:tabs>
              <w:spacing w:after="160" w:line="259" w:lineRule="auto"/>
              <w:ind w:left="0"/>
              <w:rPr>
                <w:rFonts w:ascii="Times New Roman" w:hAnsi="Times New Roman"/>
                <w:sz w:val="24"/>
                <w:szCs w:val="24"/>
              </w:rPr>
            </w:pPr>
            <w:r w:rsidRPr="00E30438">
              <w:rPr>
                <w:rFonts w:ascii="Times New Roman" w:eastAsiaTheme="minorHAnsi" w:hAnsi="Times New Roman"/>
                <w:sz w:val="24"/>
                <w:szCs w:val="24"/>
                <w:lang w:eastAsia="en-US"/>
              </w:rPr>
              <w:t>IIK 3.3. Проводить</w:t>
            </w:r>
            <w:r w:rsidRPr="00E30438">
              <w:rPr>
                <w:rFonts w:ascii="Times New Roman" w:eastAsiaTheme="minorHAnsi" w:hAnsi="Times New Roman"/>
                <w:sz w:val="24"/>
                <w:szCs w:val="24"/>
                <w:lang w:eastAsia="en-US"/>
              </w:rPr>
              <w:tab/>
              <w:t>сбор, мониторинг и систематизацию ценовых показателей товаров, в том числе</w:t>
            </w:r>
            <w:r w:rsidRPr="00E30438">
              <w:rPr>
                <w:rFonts w:ascii="Times New Roman" w:eastAsiaTheme="minorHAnsi" w:hAnsi="Times New Roman"/>
                <w:sz w:val="24"/>
                <w:szCs w:val="24"/>
                <w:lang w:eastAsia="en-US"/>
              </w:rPr>
              <w:tab/>
              <w:t>с использованием информационных интеллектуальных технологий.</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CA2" w:rsidRDefault="00CA6CA2" w:rsidP="004B2CA9">
      <w:pPr>
        <w:spacing w:after="0" w:line="240" w:lineRule="auto"/>
      </w:pPr>
      <w:r>
        <w:separator/>
      </w:r>
    </w:p>
  </w:endnote>
  <w:endnote w:type="continuationSeparator" w:id="0">
    <w:p w:rsidR="00CA6CA2" w:rsidRDefault="00CA6CA2"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CA2" w:rsidRDefault="00CA6CA2" w:rsidP="004B2CA9">
      <w:pPr>
        <w:spacing w:after="0" w:line="240" w:lineRule="auto"/>
      </w:pPr>
      <w:r>
        <w:separator/>
      </w:r>
    </w:p>
  </w:footnote>
  <w:footnote w:type="continuationSeparator" w:id="0">
    <w:p w:rsidR="00CA6CA2" w:rsidRDefault="00CA6CA2"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A5964"/>
    <w:rsid w:val="000D0B9E"/>
    <w:rsid w:val="000F7A5D"/>
    <w:rsid w:val="0010715D"/>
    <w:rsid w:val="001130F8"/>
    <w:rsid w:val="001B1413"/>
    <w:rsid w:val="001B5598"/>
    <w:rsid w:val="001B5728"/>
    <w:rsid w:val="00266343"/>
    <w:rsid w:val="002B0B51"/>
    <w:rsid w:val="0031426A"/>
    <w:rsid w:val="0032099F"/>
    <w:rsid w:val="003307C8"/>
    <w:rsid w:val="00342117"/>
    <w:rsid w:val="00392B0B"/>
    <w:rsid w:val="003A0E37"/>
    <w:rsid w:val="003A74C0"/>
    <w:rsid w:val="003C504E"/>
    <w:rsid w:val="003E760B"/>
    <w:rsid w:val="00416320"/>
    <w:rsid w:val="00422626"/>
    <w:rsid w:val="004438B0"/>
    <w:rsid w:val="00473FEA"/>
    <w:rsid w:val="0048236D"/>
    <w:rsid w:val="004B2CA9"/>
    <w:rsid w:val="00547365"/>
    <w:rsid w:val="005509CB"/>
    <w:rsid w:val="005522BC"/>
    <w:rsid w:val="005A7D81"/>
    <w:rsid w:val="005E3637"/>
    <w:rsid w:val="00601603"/>
    <w:rsid w:val="00601644"/>
    <w:rsid w:val="0061221C"/>
    <w:rsid w:val="0061537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3C05"/>
    <w:rsid w:val="007A14A9"/>
    <w:rsid w:val="007F4212"/>
    <w:rsid w:val="00840F6D"/>
    <w:rsid w:val="00851BEB"/>
    <w:rsid w:val="008520A5"/>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733E"/>
    <w:rsid w:val="00AD22A3"/>
    <w:rsid w:val="00B1441A"/>
    <w:rsid w:val="00B237F0"/>
    <w:rsid w:val="00B253D1"/>
    <w:rsid w:val="00B51858"/>
    <w:rsid w:val="00B65BD5"/>
    <w:rsid w:val="00B70118"/>
    <w:rsid w:val="00BC17D8"/>
    <w:rsid w:val="00BD4497"/>
    <w:rsid w:val="00BD468E"/>
    <w:rsid w:val="00C059A5"/>
    <w:rsid w:val="00C13C6D"/>
    <w:rsid w:val="00C15446"/>
    <w:rsid w:val="00C71557"/>
    <w:rsid w:val="00C90A38"/>
    <w:rsid w:val="00CA6CA2"/>
    <w:rsid w:val="00CB6FC4"/>
    <w:rsid w:val="00CE0D35"/>
    <w:rsid w:val="00CE31EE"/>
    <w:rsid w:val="00CF0496"/>
    <w:rsid w:val="00D34E8A"/>
    <w:rsid w:val="00D542C3"/>
    <w:rsid w:val="00DC1161"/>
    <w:rsid w:val="00DD0C77"/>
    <w:rsid w:val="00DD0EC7"/>
    <w:rsid w:val="00DE591E"/>
    <w:rsid w:val="00DE5FA5"/>
    <w:rsid w:val="00E302DB"/>
    <w:rsid w:val="00E30438"/>
    <w:rsid w:val="00E41FB6"/>
    <w:rsid w:val="00E47F4C"/>
    <w:rsid w:val="00E51515"/>
    <w:rsid w:val="00E5337A"/>
    <w:rsid w:val="00E83F10"/>
    <w:rsid w:val="00E97C51"/>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C4DAA"/>
  <w15:docId w15:val="{A6051C7F-98CF-446D-9F01-95AF09838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E30438"/>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E30438"/>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759444408">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64972020">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432355755">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584290586">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772317949">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Kmd774bEu4pVYsIecHA+MiaHs05PoLyqhGEReOpgBtM=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TgOW1xcZNeDn9YOJE21tC7KURxjNZaiNEHNFC8posPs=</DigestValue>
    </Reference>
  </SignedInfo>
  <SignatureValue>RqpXgR6E0iqDn9esZF6+i4avEgPclADApOb9iyc5gm9zjdazafUZkMunAGh019E6
fIlo7SWJYwXWzX1bQb3wyA==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Rbox+WrCIxlhfUua+E54X/l49hM=</DigestValue>
      </Reference>
      <Reference URI="/word/endnotes.xml?ContentType=application/vnd.openxmlformats-officedocument.wordprocessingml.endnotes+xml">
        <DigestMethod Algorithm="http://www.w3.org/2000/09/xmldsig#sha1"/>
        <DigestValue>J11NXfaJqxcYF8AhiSpAjo2FZ80=</DigestValue>
      </Reference>
      <Reference URI="/word/fontTable.xml?ContentType=application/vnd.openxmlformats-officedocument.wordprocessingml.fontTable+xml">
        <DigestMethod Algorithm="http://www.w3.org/2000/09/xmldsig#sha1"/>
        <DigestValue>PDzXwO8vZcT1co35jdtKHwjFfFk=</DigestValue>
      </Reference>
      <Reference URI="/word/footnotes.xml?ContentType=application/vnd.openxmlformats-officedocument.wordprocessingml.footnotes+xml">
        <DigestMethod Algorithm="http://www.w3.org/2000/09/xmldsig#sha1"/>
        <DigestValue>h3s8fZownKiiJwAy9e8bj2R/P1I=</DigestValue>
      </Reference>
      <Reference URI="/word/numbering.xml?ContentType=application/vnd.openxmlformats-officedocument.wordprocessingml.numbering+xml">
        <DigestMethod Algorithm="http://www.w3.org/2000/09/xmldsig#sha1"/>
        <DigestValue>4TEXUodD2RiX/3D2lTjXqdIOloA=</DigestValue>
      </Reference>
      <Reference URI="/word/settings.xml?ContentType=application/vnd.openxmlformats-officedocument.wordprocessingml.settings+xml">
        <DigestMethod Algorithm="http://www.w3.org/2000/09/xmldsig#sha1"/>
        <DigestValue>gqS2JNCaCLg4VuRTlbQ9JNW1Deo=</DigestValue>
      </Reference>
      <Reference URI="/word/styles.xml?ContentType=application/vnd.openxmlformats-officedocument.wordprocessingml.styles+xml">
        <DigestMethod Algorithm="http://www.w3.org/2000/09/xmldsig#sha1"/>
        <DigestValue>qlT20kxMmY0ICb1aGlxT8n+Aj+k=</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Dcq3qax/PaZEtV8lwJxRt/vheMg=</DigestValue>
      </Reference>
    </Manifest>
    <SignatureProperties>
      <SignatureProperty Id="idSignatureTime" Target="#idPackageSignature">
        <mdssi:SignatureTime xmlns:mdssi="http://schemas.openxmlformats.org/package/2006/digital-signature">
          <mdssi:Format>YYYY-MM-DDThh:mm:ssTZD</mdssi:Format>
          <mdssi:Value>2024-09-02T11:46:57Z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2024-09-02T11:46:57Z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E7246-B438-4D18-9564-4792A3874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28</Pages>
  <Words>6083</Words>
  <Characters>34677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14</cp:revision>
  <dcterms:created xsi:type="dcterms:W3CDTF">2024-04-10T04:52:00Z</dcterms:created>
  <dcterms:modified xsi:type="dcterms:W3CDTF">2024-09-02T11:46:00Z</dcterms:modified>
</cp:coreProperties>
</file>