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A748CA" w:rsidRDefault="003E760B" w:rsidP="003E760B">
      <w:pPr>
        <w:spacing w:after="0" w:line="360" w:lineRule="auto"/>
        <w:jc w:val="center"/>
        <w:rPr>
          <w:rFonts w:ascii="Times New Roman" w:hAnsi="Times New Roman" w:cs="Times New Roman"/>
          <w:sz w:val="28"/>
          <w:szCs w:val="28"/>
        </w:rPr>
      </w:pPr>
      <w:r w:rsidRPr="00A748CA">
        <w:rPr>
          <w:rFonts w:ascii="Times New Roman" w:hAnsi="Times New Roman" w:cs="Times New Roman"/>
          <w:sz w:val="28"/>
          <w:szCs w:val="28"/>
        </w:rPr>
        <w:t>ОБЩЕОБРАЗОВАТЕЛЬНОЙ ДИСЦИПЛИНЫ</w:t>
      </w:r>
    </w:p>
    <w:p w:rsidR="003E760B" w:rsidRPr="00EB6397" w:rsidRDefault="003E760B" w:rsidP="003E760B">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0647AD" w:rsidRPr="00A748CA" w:rsidRDefault="000647AD" w:rsidP="000647AD">
      <w:pPr>
        <w:autoSpaceDE w:val="0"/>
        <w:autoSpaceDN w:val="0"/>
        <w:adjustRightInd w:val="0"/>
        <w:spacing w:line="240" w:lineRule="auto"/>
        <w:jc w:val="center"/>
        <w:rPr>
          <w:rFonts w:ascii="Times New Roman" w:hAnsi="Times New Roman" w:cs="Times New Roman"/>
          <w:b/>
          <w:color w:val="000000"/>
          <w:sz w:val="28"/>
          <w:szCs w:val="28"/>
        </w:rPr>
      </w:pPr>
      <w:r w:rsidRPr="00A748CA">
        <w:rPr>
          <w:rFonts w:ascii="Times New Roman" w:hAnsi="Times New Roman" w:cs="Times New Roman"/>
          <w:b/>
          <w:color w:val="000000"/>
          <w:sz w:val="28"/>
          <w:szCs w:val="28"/>
        </w:rPr>
        <w:t>09.02.06 «</w:t>
      </w:r>
      <w:r w:rsidRPr="00A748CA">
        <w:rPr>
          <w:rFonts w:ascii="Times New Roman" w:hAnsi="Times New Roman" w:cs="Times New Roman"/>
          <w:b/>
          <w:sz w:val="28"/>
          <w:szCs w:val="28"/>
        </w:rPr>
        <w:t>Сетевое и системное администрирование»</w:t>
      </w:r>
    </w:p>
    <w:p w:rsidR="003E760B" w:rsidRPr="005E3637" w:rsidRDefault="004438B0" w:rsidP="004438B0">
      <w:pPr>
        <w:pStyle w:val="Default"/>
        <w:tabs>
          <w:tab w:val="left" w:pos="6645"/>
        </w:tabs>
        <w:rPr>
          <w:sz w:val="23"/>
          <w:szCs w:val="23"/>
        </w:rPr>
      </w:pPr>
      <w:r>
        <w:rPr>
          <w:sz w:val="23"/>
          <w:szCs w:val="23"/>
        </w:rPr>
        <w:tab/>
      </w: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9E756B"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32099F">
              <w:rPr>
                <w:rFonts w:ascii="Times New Roman" w:hAnsi="Times New Roman" w:cs="Times New Roman"/>
                <w:bCs/>
                <w:sz w:val="28"/>
                <w:szCs w:val="28"/>
              </w:rPr>
              <w:t>№ 14</w:t>
            </w:r>
            <w:r>
              <w:rPr>
                <w:rFonts w:ascii="Times New Roman" w:hAnsi="Times New Roman" w:cs="Times New Roman"/>
                <w:bCs/>
                <w:sz w:val="28"/>
                <w:szCs w:val="28"/>
              </w:rPr>
              <w:t xml:space="preserve">от </w:t>
            </w:r>
            <w:r w:rsidR="006E75DF">
              <w:rPr>
                <w:rFonts w:ascii="Times New Roman" w:hAnsi="Times New Roman" w:cs="Times New Roman"/>
                <w:bCs/>
                <w:sz w:val="28"/>
                <w:szCs w:val="28"/>
              </w:rPr>
              <w:t xml:space="preserve">28 </w:t>
            </w:r>
            <w:r>
              <w:rPr>
                <w:rFonts w:ascii="Times New Roman" w:hAnsi="Times New Roman" w:cs="Times New Roman"/>
                <w:bCs/>
                <w:sz w:val="28"/>
                <w:szCs w:val="28"/>
              </w:rPr>
              <w:t>июня</w:t>
            </w:r>
            <w:r w:rsidR="009E756B">
              <w:rPr>
                <w:rFonts w:ascii="Times New Roman" w:hAnsi="Times New Roman" w:cs="Times New Roman"/>
                <w:bCs/>
                <w:sz w:val="28"/>
                <w:szCs w:val="28"/>
              </w:rPr>
              <w:t xml:space="preserve"> 2024</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5C577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5C577E">
              <w:rPr>
                <w:rFonts w:ascii="Times New Roman" w:hAnsi="Times New Roman" w:cs="Times New Roman"/>
                <w:bCs/>
                <w:color w:val="000000"/>
                <w:sz w:val="28"/>
                <w:szCs w:val="28"/>
              </w:rPr>
              <w:t>30</w:t>
            </w:r>
            <w:r w:rsidR="003E760B" w:rsidRPr="004E3760">
              <w:rPr>
                <w:rFonts w:ascii="Times New Roman" w:hAnsi="Times New Roman" w:cs="Times New Roman"/>
                <w:bCs/>
                <w:color w:val="000000"/>
                <w:sz w:val="28"/>
                <w:szCs w:val="28"/>
              </w:rPr>
              <w:t>»</w:t>
            </w:r>
            <w:r w:rsidR="005C577E">
              <w:rPr>
                <w:rFonts w:ascii="Times New Roman" w:hAnsi="Times New Roman" w:cs="Times New Roman"/>
                <w:bCs/>
                <w:color w:val="000000"/>
                <w:sz w:val="28"/>
                <w:szCs w:val="28"/>
              </w:rPr>
              <w:t xml:space="preserve"> августа</w:t>
            </w:r>
            <w:bookmarkStart w:id="2" w:name="_GoBack"/>
            <w:bookmarkEnd w:id="2"/>
            <w:r w:rsidR="009E756B">
              <w:rPr>
                <w:rFonts w:ascii="Times New Roman" w:hAnsi="Times New Roman" w:cs="Times New Roman"/>
                <w:bCs/>
                <w:color w:val="000000"/>
                <w:sz w:val="28"/>
                <w:szCs w:val="28"/>
              </w:rPr>
              <w:t xml:space="preserve"> 2024</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 xml:space="preserve">по специальности </w:t>
      </w:r>
      <w:r w:rsidR="000647AD" w:rsidRPr="000647AD">
        <w:rPr>
          <w:rFonts w:ascii="Times New Roman" w:hAnsi="Times New Roman" w:cs="Times New Roman"/>
          <w:sz w:val="28"/>
          <w:szCs w:val="28"/>
        </w:rPr>
        <w:t>09.02.06 «Сетевое и системное администрирование»</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 xml:space="preserve">освещения России от </w:t>
      </w:r>
      <w:r w:rsidR="000647AD">
        <w:rPr>
          <w:rFonts w:ascii="Times New Roman" w:hAnsi="Times New Roman" w:cs="Times New Roman"/>
          <w:sz w:val="28"/>
          <w:szCs w:val="28"/>
        </w:rPr>
        <w:t xml:space="preserve">10.07.2023 №519 </w:t>
      </w:r>
      <w:r w:rsidR="00AC733E">
        <w:rPr>
          <w:rFonts w:ascii="Times New Roman" w:hAnsi="Times New Roman" w:cs="Times New Roman"/>
          <w:sz w:val="28"/>
          <w:szCs w:val="28"/>
        </w:rPr>
        <w:t>(ред. от 03.07.2024 №464)</w:t>
      </w:r>
      <w:r w:rsidR="008520A5">
        <w:rPr>
          <w:rFonts w:ascii="Times New Roman" w:hAnsi="Times New Roman" w:cs="Times New Roman"/>
          <w:sz w:val="28"/>
          <w:szCs w:val="28"/>
        </w:rPr>
        <w:t xml:space="preserve"> «</w:t>
      </w:r>
      <w:r w:rsidR="008520A5" w:rsidRPr="008520A5">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0647AD" w:rsidRPr="000647AD">
        <w:rPr>
          <w:rFonts w:ascii="Times New Roman" w:hAnsi="Times New Roman" w:cs="Times New Roman"/>
          <w:sz w:val="28"/>
          <w:szCs w:val="28"/>
        </w:rPr>
        <w:t>09.02.06 «Сетевое и системное администрирование»</w:t>
      </w:r>
      <w:r w:rsidR="008520A5">
        <w:rPr>
          <w:rFonts w:ascii="Times New Roman" w:hAnsi="Times New Roman" w:cs="Times New Roman"/>
          <w:sz w:val="28"/>
          <w:szCs w:val="28"/>
        </w:rPr>
        <w:t>».</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32099F" w:rsidRPr="00901EF1">
        <w:rPr>
          <w:rFonts w:ascii="Times New Roman" w:hAnsi="Times New Roman"/>
          <w:sz w:val="28"/>
          <w:szCs w:val="28"/>
        </w:rPr>
        <w:t>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 </w:t>
      </w:r>
      <w:r w:rsidR="003E760B"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3E760B" w:rsidP="00D542C3">
      <w:pPr>
        <w:pStyle w:val="Default"/>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sidR="007F4212">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0647AD" w:rsidRPr="000647AD">
        <w:rPr>
          <w:sz w:val="28"/>
          <w:szCs w:val="28"/>
        </w:rPr>
        <w:t>09.02.06 «Сетевое и системное администрирование»</w:t>
      </w:r>
      <w:r w:rsidR="00653B93">
        <w:rPr>
          <w:sz w:val="28"/>
          <w:szCs w:val="28"/>
        </w:rPr>
        <w:t>.</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3E760B" w:rsidP="00E97C51">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sidR="00653B93">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безопасностижизнедеятельностивсоответствии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0647AD" w:rsidRPr="000647AD">
        <w:rPr>
          <w:rFonts w:ascii="Times New Roman" w:hAnsi="Times New Roman" w:cs="Times New Roman"/>
          <w:color w:val="000000"/>
          <w:sz w:val="28"/>
          <w:szCs w:val="28"/>
        </w:rPr>
        <w:t>09.02.06 «Сетевое и системное администрирование»</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lastRenderedPageBreak/>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перечислять и классифицировать опасности, связанные с поведением </w:t>
            </w:r>
            <w:r w:rsidRPr="00E5337A">
              <w:rPr>
                <w:rFonts w:ascii="Times New Roman" w:hAnsi="Times New Roman" w:cs="Times New Roman"/>
                <w:sz w:val="24"/>
                <w:szCs w:val="24"/>
              </w:rPr>
              <w:lastRenderedPageBreak/>
              <w:t>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lastRenderedPageBreak/>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w:t>
            </w:r>
            <w:r w:rsidRPr="0032099F">
              <w:rPr>
                <w:rFonts w:ascii="Times New Roman" w:hAnsi="Times New Roman" w:cs="Times New Roman"/>
                <w:sz w:val="24"/>
                <w:szCs w:val="24"/>
              </w:rPr>
              <w:lastRenderedPageBreak/>
              <w:t>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w:t>
            </w:r>
            <w:r w:rsidRPr="00E5337A">
              <w:rPr>
                <w:rFonts w:ascii="Times New Roman" w:hAnsi="Times New Roman" w:cs="Times New Roman"/>
                <w:sz w:val="24"/>
                <w:szCs w:val="24"/>
              </w:rPr>
              <w:lastRenderedPageBreak/>
              <w:t>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Вооружённых Сил </w:t>
            </w:r>
            <w:r w:rsidR="003C504E" w:rsidRPr="00E5337A">
              <w:rPr>
                <w:rFonts w:ascii="Times New Roman" w:hAnsi="Times New Roman" w:cs="Times New Roman"/>
                <w:sz w:val="24"/>
                <w:szCs w:val="24"/>
              </w:rPr>
              <w:lastRenderedPageBreak/>
              <w:t>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w:t>
            </w:r>
            <w:r w:rsidRPr="00E5337A">
              <w:rPr>
                <w:rFonts w:ascii="Times New Roman" w:hAnsi="Times New Roman" w:cs="Times New Roman"/>
                <w:sz w:val="24"/>
                <w:szCs w:val="24"/>
              </w:rPr>
              <w:lastRenderedPageBreak/>
              <w:t>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знаний об элементах начальной военной подготовки; овладение знаниями требований безопасности при обращении со стрелковым оружием; </w:t>
            </w:r>
            <w:r w:rsidRPr="00E5337A">
              <w:rPr>
                <w:rFonts w:ascii="Times New Roman" w:hAnsi="Times New Roman" w:cs="Times New Roman"/>
                <w:sz w:val="24"/>
                <w:szCs w:val="24"/>
              </w:rPr>
              <w:lastRenderedPageBreak/>
              <w:t>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E5337A">
              <w:rPr>
                <w:rFonts w:ascii="Times New Roman" w:hAnsi="Times New Roman" w:cs="Times New Roman"/>
                <w:sz w:val="24"/>
                <w:szCs w:val="24"/>
              </w:rPr>
              <w:lastRenderedPageBreak/>
              <w:t xml:space="preserve">ОК 07. Содействовать сохранению окружающей среды, </w:t>
            </w:r>
            <w:r w:rsidRPr="00E5337A">
              <w:rPr>
                <w:rFonts w:ascii="Times New Roman"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сформированность экологической культуры, понимание влияния социально-экономических процессов на </w:t>
            </w:r>
            <w:r w:rsidRPr="00E5337A">
              <w:rPr>
                <w:rFonts w:ascii="Times New Roman" w:hAnsi="Times New Roman" w:cs="Times New Roman"/>
                <w:sz w:val="24"/>
                <w:szCs w:val="24"/>
              </w:rPr>
              <w:lastRenderedPageBreak/>
              <w:t>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lastRenderedPageBreak/>
              <w:t xml:space="preserve">- выделять и классифицировать источники опасности в природной </w:t>
            </w:r>
            <w:r w:rsidRPr="00E5337A">
              <w:rPr>
                <w:rFonts w:ascii="Times New Roman" w:hAnsi="Times New Roman" w:cs="Times New Roman"/>
                <w:sz w:val="24"/>
                <w:szCs w:val="24"/>
              </w:rPr>
              <w:lastRenderedPageBreak/>
              <w:t>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 xml:space="preserve">называть и характеризовать </w:t>
            </w:r>
            <w:r w:rsidR="00601603" w:rsidRPr="00E5337A">
              <w:rPr>
                <w:rFonts w:ascii="Times New Roman" w:hAnsi="Times New Roman" w:cs="Times New Roman"/>
                <w:sz w:val="24"/>
                <w:szCs w:val="24"/>
              </w:rPr>
              <w:lastRenderedPageBreak/>
              <w:t>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lastRenderedPageBreak/>
              <w:t>ПК 3.3.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F25775"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lastRenderedPageBreak/>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lastRenderedPageBreak/>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xml:space="preserve">- опасности в общественных местах социально-психологического характера (возникновение толпы и давки; проявление агрессии; криминогенные ситуации; </w:t>
            </w:r>
            <w:r w:rsidRPr="0073037C">
              <w:rPr>
                <w:rFonts w:ascii="Times New Roman" w:eastAsia="Times New Roman" w:hAnsi="Times New Roman" w:cs="Times New Roman"/>
                <w:bCs/>
                <w:sz w:val="24"/>
                <w:szCs w:val="24"/>
              </w:rPr>
              <w:lastRenderedPageBreak/>
              <w:t>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деструктивные и псевдопсихологические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 xml:space="preserve">Культура безопасности жизнедеятельности в </w:t>
            </w:r>
            <w:r w:rsidRPr="0073037C">
              <w:rPr>
                <w:rFonts w:ascii="Times New Roman" w:hAnsi="Times New Roman" w:cs="Times New Roman"/>
                <w:sz w:val="24"/>
                <w:szCs w:val="24"/>
              </w:rPr>
              <w:lastRenderedPageBreak/>
              <w:t>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lastRenderedPageBreak/>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природные чрезвычайные ситуации, вызванные опасными геологическими явлениями и процессами: землетрясения, извержение вулканов, оползни, </w:t>
            </w:r>
            <w:r w:rsidRPr="009C6B2B">
              <w:rPr>
                <w:rFonts w:ascii="Times New Roman" w:eastAsia="Times New Roman" w:hAnsi="Times New Roman" w:cs="Times New Roman"/>
                <w:bCs/>
                <w:sz w:val="24"/>
                <w:szCs w:val="24"/>
              </w:rPr>
              <w:lastRenderedPageBreak/>
              <w:t>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 xml:space="preserve">«Основы медицинских знаний. </w:t>
            </w:r>
            <w:r>
              <w:rPr>
                <w:rFonts w:ascii="Times New Roman" w:hAnsi="Times New Roman" w:cs="Times New Roman"/>
                <w:sz w:val="24"/>
                <w:szCs w:val="24"/>
              </w:rPr>
              <w:lastRenderedPageBreak/>
              <w:t>Оказание помощи»</w:t>
            </w:r>
          </w:p>
        </w:tc>
        <w:tc>
          <w:tcPr>
            <w:tcW w:w="8466" w:type="dxa"/>
          </w:tcPr>
          <w:p w:rsidR="0075600A" w:rsidRPr="0073037C" w:rsidRDefault="0075600A" w:rsidP="00002F28">
            <w:pPr>
              <w:pStyle w:val="4"/>
              <w:outlineLvl w:val="3"/>
            </w:pPr>
            <w:r w:rsidRPr="0073037C">
              <w:lastRenderedPageBreak/>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C41C30"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C41C30">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C41C30"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Осуществлять текущее администрирование для защиты </w:t>
            </w:r>
            <w:r>
              <w:rPr>
                <w:rFonts w:ascii="Times New Roman" w:eastAsiaTheme="minorHAnsi" w:hAnsi="Times New Roman"/>
                <w:sz w:val="24"/>
                <w:szCs w:val="24"/>
                <w:lang w:eastAsia="en-US"/>
              </w:rPr>
              <w:t>и</w:t>
            </w:r>
            <w:r w:rsidRPr="008520A5">
              <w:rPr>
                <w:rFonts w:ascii="Times New Roman" w:eastAsiaTheme="minorHAnsi" w:hAnsi="Times New Roman"/>
                <w:sz w:val="24"/>
                <w:szCs w:val="24"/>
                <w:lang w:eastAsia="en-US"/>
              </w:rPr>
              <w:t>нфокоммуникационных сетей и систем связи с использованием специализированного программного обеспечения и оборудования.</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CA2" w:rsidRDefault="00CA6CA2" w:rsidP="004B2CA9">
      <w:pPr>
        <w:spacing w:after="0" w:line="240" w:lineRule="auto"/>
      </w:pPr>
      <w:r>
        <w:separator/>
      </w:r>
    </w:p>
  </w:endnote>
  <w:endnote w:type="continuationSeparator" w:id="0">
    <w:p w:rsidR="00CA6CA2" w:rsidRDefault="00CA6CA2"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CA2" w:rsidRDefault="00CA6CA2" w:rsidP="004B2CA9">
      <w:pPr>
        <w:spacing w:after="0" w:line="240" w:lineRule="auto"/>
      </w:pPr>
      <w:r>
        <w:separator/>
      </w:r>
    </w:p>
  </w:footnote>
  <w:footnote w:type="continuationSeparator" w:id="0">
    <w:p w:rsidR="00CA6CA2" w:rsidRDefault="00CA6CA2"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45754"/>
    <w:rsid w:val="0006008E"/>
    <w:rsid w:val="0006033E"/>
    <w:rsid w:val="000647AD"/>
    <w:rsid w:val="000A5964"/>
    <w:rsid w:val="000D0B9E"/>
    <w:rsid w:val="000F7A5D"/>
    <w:rsid w:val="0010715D"/>
    <w:rsid w:val="001130F8"/>
    <w:rsid w:val="001B1413"/>
    <w:rsid w:val="001B5728"/>
    <w:rsid w:val="00266343"/>
    <w:rsid w:val="002B0B51"/>
    <w:rsid w:val="0031426A"/>
    <w:rsid w:val="0032099F"/>
    <w:rsid w:val="003307C8"/>
    <w:rsid w:val="00342117"/>
    <w:rsid w:val="00392B0B"/>
    <w:rsid w:val="003A0E37"/>
    <w:rsid w:val="003A74C0"/>
    <w:rsid w:val="003C504E"/>
    <w:rsid w:val="003E760B"/>
    <w:rsid w:val="00416320"/>
    <w:rsid w:val="00422626"/>
    <w:rsid w:val="004438B0"/>
    <w:rsid w:val="00473FEA"/>
    <w:rsid w:val="0048236D"/>
    <w:rsid w:val="004B2CA9"/>
    <w:rsid w:val="00547365"/>
    <w:rsid w:val="005509CB"/>
    <w:rsid w:val="005522BC"/>
    <w:rsid w:val="005A7D81"/>
    <w:rsid w:val="005C577E"/>
    <w:rsid w:val="005E3637"/>
    <w:rsid w:val="00601603"/>
    <w:rsid w:val="00601644"/>
    <w:rsid w:val="0061221C"/>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77DE7"/>
    <w:rsid w:val="00783C05"/>
    <w:rsid w:val="007A14A9"/>
    <w:rsid w:val="007F4212"/>
    <w:rsid w:val="00840F6D"/>
    <w:rsid w:val="00851BEB"/>
    <w:rsid w:val="008520A5"/>
    <w:rsid w:val="00901EF1"/>
    <w:rsid w:val="00913DEE"/>
    <w:rsid w:val="009369E3"/>
    <w:rsid w:val="009C78B3"/>
    <w:rsid w:val="009D06FC"/>
    <w:rsid w:val="009E22FC"/>
    <w:rsid w:val="009E756B"/>
    <w:rsid w:val="00A074E9"/>
    <w:rsid w:val="00A334E2"/>
    <w:rsid w:val="00A33F5C"/>
    <w:rsid w:val="00A34025"/>
    <w:rsid w:val="00A748CA"/>
    <w:rsid w:val="00A85329"/>
    <w:rsid w:val="00A91998"/>
    <w:rsid w:val="00AA6B27"/>
    <w:rsid w:val="00AC733E"/>
    <w:rsid w:val="00AD22A3"/>
    <w:rsid w:val="00B1441A"/>
    <w:rsid w:val="00B253D1"/>
    <w:rsid w:val="00B51858"/>
    <w:rsid w:val="00B65BD5"/>
    <w:rsid w:val="00B70118"/>
    <w:rsid w:val="00BC17D8"/>
    <w:rsid w:val="00BD4497"/>
    <w:rsid w:val="00BD468E"/>
    <w:rsid w:val="00C059A5"/>
    <w:rsid w:val="00C13C6D"/>
    <w:rsid w:val="00C15446"/>
    <w:rsid w:val="00C41C30"/>
    <w:rsid w:val="00C71557"/>
    <w:rsid w:val="00C90A38"/>
    <w:rsid w:val="00CA6CA2"/>
    <w:rsid w:val="00CB6FC4"/>
    <w:rsid w:val="00CE0D35"/>
    <w:rsid w:val="00CE31EE"/>
    <w:rsid w:val="00CF0496"/>
    <w:rsid w:val="00CF7D9C"/>
    <w:rsid w:val="00D34E8A"/>
    <w:rsid w:val="00D542C3"/>
    <w:rsid w:val="00DC1161"/>
    <w:rsid w:val="00DD0C77"/>
    <w:rsid w:val="00DD0EC7"/>
    <w:rsid w:val="00DE591E"/>
    <w:rsid w:val="00DE5FA5"/>
    <w:rsid w:val="00E302DB"/>
    <w:rsid w:val="00E41FB6"/>
    <w:rsid w:val="00E51515"/>
    <w:rsid w:val="00E5337A"/>
    <w:rsid w:val="00E83F10"/>
    <w:rsid w:val="00E97C51"/>
    <w:rsid w:val="00EC7121"/>
    <w:rsid w:val="00EC7431"/>
    <w:rsid w:val="00ED2FEA"/>
    <w:rsid w:val="00F25775"/>
    <w:rsid w:val="00F33B78"/>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A770B"/>
  <w15:docId w15:val="{C5258A8F-1269-4E44-AC1D-19B4F2AB0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
    <w:name w:val="Основной текст (5)_"/>
    <w:basedOn w:val="a0"/>
    <w:link w:val="50"/>
    <w:rsid w:val="003E760B"/>
    <w:rPr>
      <w:rFonts w:ascii="Tahoma" w:eastAsia="Tahoma" w:hAnsi="Tahoma" w:cs="Tahoma"/>
      <w:sz w:val="24"/>
      <w:szCs w:val="24"/>
      <w:shd w:val="clear" w:color="auto" w:fill="FFFFFF"/>
    </w:rPr>
  </w:style>
  <w:style w:type="paragraph" w:customStyle="1" w:styleId="50">
    <w:name w:val="Основной текст (5)"/>
    <w:basedOn w:val="a"/>
    <w:link w:val="5"/>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1I9dtXYKqgyLJnZkb9Vd2f2feK7x5TvqlaSajlSr6Kc=</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ukeOJZFzFFQ21zQwJh981Jzv6Tya4lBeoiKJaE9ghso=</DigestValue>
    </Reference>
  </SignedInfo>
  <SignatureValue>zzEI0Uu8US5VP+lvopf8p6VcT5KeoSU/xN2OPZlnuXMdgcaXh2+1argzXqBOwhhI
TYD8/+Z1LxkC7RZ8Idu9SQ==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5qjCD/w1qWI6oItSuzy68xlxrik=</DigestValue>
      </Reference>
      <Reference URI="/word/endnotes.xml?ContentType=application/vnd.openxmlformats-officedocument.wordprocessingml.endnotes+xml">
        <DigestMethod Algorithm="http://www.w3.org/2000/09/xmldsig#sha1"/>
        <DigestValue>J11NXfaJqxcYF8AhiSpAjo2FZ80=</DigestValue>
      </Reference>
      <Reference URI="/word/fontTable.xml?ContentType=application/vnd.openxmlformats-officedocument.wordprocessingml.fontTable+xml">
        <DigestMethod Algorithm="http://www.w3.org/2000/09/xmldsig#sha1"/>
        <DigestValue>tgZfinn6TQ4fzPyJCXEg2sJdeJ0=</DigestValue>
      </Reference>
      <Reference URI="/word/footnotes.xml?ContentType=application/vnd.openxmlformats-officedocument.wordprocessingml.footnotes+xml">
        <DigestMethod Algorithm="http://www.w3.org/2000/09/xmldsig#sha1"/>
        <DigestValue>h3s8fZownKiiJwAy9e8bj2R/P1I=</DigestValue>
      </Reference>
      <Reference URI="/word/numbering.xml?ContentType=application/vnd.openxmlformats-officedocument.wordprocessingml.numbering+xml">
        <DigestMethod Algorithm="http://www.w3.org/2000/09/xmldsig#sha1"/>
        <DigestValue>4TEXUodD2RiX/3D2lTjXqdIOloA=</DigestValue>
      </Reference>
      <Reference URI="/word/settings.xml?ContentType=application/vnd.openxmlformats-officedocument.wordprocessingml.settings+xml">
        <DigestMethod Algorithm="http://www.w3.org/2000/09/xmldsig#sha1"/>
        <DigestValue>iDVOX4ipR2/iR2KKpUp7QcN/LQ8=</DigestValue>
      </Reference>
      <Reference URI="/word/styles.xml?ContentType=application/vnd.openxmlformats-officedocument.wordprocessingml.styles+xml">
        <DigestMethod Algorithm="http://www.w3.org/2000/09/xmldsig#sha1"/>
        <DigestValue>qToyMbGDClgXFJ3bzkLhWEdmYWY=</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4r1Uzu0PPKyX2leIu3arLvic8eM=</DigestValue>
      </Reference>
    </Manifest>
    <SignatureProperties>
      <SignatureProperty Id="idSignatureTime" Target="#idPackageSignature">
        <mdssi:SignatureTime xmlns:mdssi="http://schemas.openxmlformats.org/package/2006/digital-signature">
          <mdssi:Format>YYYY-MM-DDThh:mm:ssTZD</mdssi:Format>
          <mdssi:Value>2024-08-30T13:01:16Z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2024-08-30T13:01:16Z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A61BE-F540-439E-A820-332922D95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29</Pages>
  <Words>6104</Words>
  <Characters>34798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14</cp:revision>
  <dcterms:created xsi:type="dcterms:W3CDTF">2024-04-10T04:52:00Z</dcterms:created>
  <dcterms:modified xsi:type="dcterms:W3CDTF">2024-08-30T13:01:00Z</dcterms:modified>
</cp:coreProperties>
</file>