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95330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95330D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30708C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95330D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</w:t>
      </w:r>
      <w:r w:rsidR="00A25102">
        <w:rPr>
          <w:color w:val="000000"/>
          <w:sz w:val="28"/>
          <w:szCs w:val="28"/>
        </w:rPr>
        <w:t xml:space="preserve">д. от 03.07.2024 №464) </w:t>
      </w:r>
      <w:r w:rsidR="00FA0E5B" w:rsidRPr="00FA0E5B">
        <w:rPr>
          <w:color w:val="000000"/>
          <w:sz w:val="28"/>
          <w:szCs w:val="28"/>
        </w:rPr>
        <w:t xml:space="preserve">и </w:t>
      </w:r>
      <w:r w:rsidR="00A25102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A25102" w:rsidRPr="00FA0E5B">
        <w:rPr>
          <w:color w:val="000000"/>
          <w:sz w:val="28"/>
          <w:szCs w:val="28"/>
        </w:rPr>
        <w:t>на цикловой комиссией колледже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95330D">
        <w:rPr>
          <w:sz w:val="28"/>
          <w:szCs w:val="28"/>
        </w:rPr>
        <w:t>Малая</w:t>
      </w:r>
      <w:r>
        <w:rPr>
          <w:sz w:val="28"/>
          <w:szCs w:val="28"/>
        </w:rPr>
        <w:t xml:space="preserve"> М.А., </w:t>
      </w:r>
      <w:r w:rsidR="00C855EB">
        <w:rPr>
          <w:sz w:val="28"/>
          <w:szCs w:val="28"/>
        </w:rPr>
        <w:t>Сулавко С.Н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F05D6E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 xml:space="preserve">профессионального модуля </w:t>
      </w:r>
      <w:r w:rsidR="00C855EB">
        <w:rPr>
          <w:color w:val="000000"/>
          <w:sz w:val="28"/>
          <w:szCs w:val="28"/>
        </w:rPr>
        <w:t>ПМ. 04 «Сопровождение и обслуживание программного обеспечения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202A0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>
        <w:trPr>
          <w:trHeight w:val="3664"/>
        </w:trPr>
        <w:tc>
          <w:tcPr>
            <w:tcW w:w="4111" w:type="dxa"/>
          </w:tcPr>
          <w:p w:rsidR="00735241" w:rsidRDefault="00735241">
            <w:pPr>
              <w:spacing w:line="360" w:lineRule="auto"/>
              <w:jc w:val="both"/>
            </w:pPr>
            <w:r>
              <w:t>ПМ.04 «Сопровождение и обслуживание программного обеспечения компьютерных систем»</w:t>
            </w:r>
            <w:r>
              <w:tab/>
            </w:r>
          </w:p>
          <w:p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подбирать и настраивать конфигурацию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использовать методы защиты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проводить инсталляцию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производить настройку отдельных компонентов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анализировать риски и характеристики качества программного обеспечения;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уметь разрабатывать базовые сценарии в Windows;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управлять параметрами автозагрузки;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>
              <w:t>настраивать механизмы обеспечения безопасности ОС.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C855EB">
        <w:rPr>
          <w:color w:val="000000"/>
          <w:sz w:val="28"/>
          <w:szCs w:val="28"/>
        </w:rPr>
        <w:t>ПМ.04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ПМ.04 Сопровождение и обслуживание программного обеспечения компьютерных систем.</w:t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4.1.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4.2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4.3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4.4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Обеспечивать защиту программного обеспечения компьютерных систем программными средствами.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.1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.2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.3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.4</w:t>
            </w:r>
          </w:p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ПМ.04 Сопровождение и обслуживание программного обеспечения компьютерных систем.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C855EB" w:rsidRDefault="00C855EB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и настройка конфигурации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Использование методов защиты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Инсталляция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отдельных компонентов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Анализ рисков и характеристики качества программного обеспечения;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базовых сценариев в Windows;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Управление параметрами автозагрузки;</w:t>
            </w:r>
          </w:p>
          <w:p w:rsidR="00AB2998" w:rsidRDefault="00C855EB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механизмов обеспечения безопасности ОС.</w:t>
            </w:r>
            <w:r w:rsidR="003F58E9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BC18FA">
              <w:rPr>
                <w:i/>
                <w:color w:val="000000"/>
                <w:sz w:val="20"/>
                <w:szCs w:val="20"/>
              </w:rPr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C855EB" w:rsidRDefault="00BC18FA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дизайн-концепции приложений в соответствии с корпоративным стилем </w:t>
            </w:r>
          </w:p>
          <w:p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lastRenderedPageBreak/>
              <w:t>Тема 1. Основные</w:t>
            </w:r>
            <w:r>
              <w:rPr>
                <w:spacing w:val="-52"/>
                <w:sz w:val="22"/>
              </w:rPr>
              <w:t xml:space="preserve"> </w:t>
            </w:r>
            <w:r w:rsidR="00444EE4">
              <w:rPr>
                <w:spacing w:val="-52"/>
                <w:sz w:val="22"/>
              </w:rPr>
              <w:t xml:space="preserve">    </w:t>
            </w:r>
            <w:r>
              <w:rPr>
                <w:sz w:val="22"/>
              </w:rPr>
              <w:t>методы внедрения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программного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Pr="00201BEA">
              <w:t>Разработка проекта внедрения программного продукта. Управление внедрением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Pr="00201BEA">
              <w:t>Разработка руководства оператора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Pr="00201BEA">
              <w:t>Разработка (подготовка) документации и отчетных форм для внедрения программных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Загрузка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установка программного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Pr="00201BEA">
              <w:rPr>
                <w:b w:val="0"/>
              </w:rPr>
              <w:t>Измерение и анализ эксплуатационных характеристик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качества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1"/>
              </w:rPr>
              <w:t xml:space="preserve"> </w:t>
            </w:r>
            <w:r w:rsidRPr="00201BEA">
              <w:rPr>
                <w:b w:val="0"/>
              </w:rPr>
              <w:t>обеспечения</w:t>
            </w:r>
            <w:r w:rsidR="007F12D4"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r>
              <w:rPr>
                <w:b w:val="0"/>
              </w:rPr>
              <w:lastRenderedPageBreak/>
              <w:t>Выявление и документирование проблем установки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Pr="00201BEA" w:rsidRDefault="00201BEA" w:rsidP="00201BEA">
            <w:pPr>
              <w:pStyle w:val="212"/>
              <w:spacing w:before="1" w:line="240" w:lineRule="auto"/>
              <w:ind w:left="0"/>
              <w:jc w:val="left"/>
              <w:rPr>
                <w:b w:val="0"/>
              </w:rPr>
            </w:pPr>
            <w:r w:rsidRPr="00B23855">
              <w:t>Практическая</w:t>
            </w:r>
            <w:r w:rsidRPr="00B23855">
              <w:rPr>
                <w:spacing w:val="-4"/>
              </w:rPr>
              <w:t xml:space="preserve"> </w:t>
            </w:r>
            <w:r w:rsidRPr="00B23855">
              <w:t>работа</w:t>
            </w:r>
            <w:r w:rsidRPr="00B23855">
              <w:rPr>
                <w:spacing w:val="-6"/>
              </w:rPr>
              <w:t xml:space="preserve"> </w:t>
            </w:r>
            <w:r w:rsidRPr="00B23855">
              <w:t>№</w:t>
            </w:r>
            <w:r w:rsidRPr="00B23855">
              <w:rPr>
                <w:spacing w:val="-5"/>
              </w:rPr>
              <w:t xml:space="preserve"> </w:t>
            </w:r>
            <w:r>
              <w:t>6</w:t>
            </w:r>
            <w:r w:rsidRPr="00B23855">
              <w:rPr>
                <w:spacing w:val="-2"/>
              </w:rPr>
              <w:t xml:space="preserve"> </w:t>
            </w:r>
            <w:r w:rsidRPr="00201BEA">
              <w:rPr>
                <w:b w:val="0"/>
              </w:rPr>
              <w:t>Устранение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проблем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совместимости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</w:p>
          <w:p w:rsidR="007F12D4" w:rsidRPr="00201BEA" w:rsidRDefault="00201BEA" w:rsidP="00201BEA">
            <w:pPr>
              <w:ind w:right="917"/>
              <w:rPr>
                <w:b/>
              </w:rPr>
            </w:pPr>
            <w:r w:rsidRPr="00201BEA">
              <w:t>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Pr="00201BEA">
              <w:rPr>
                <w:b w:val="0"/>
              </w:rPr>
              <w:t xml:space="preserve">Конфигурирование </w:t>
            </w:r>
            <w:r>
              <w:rPr>
                <w:b w:val="0"/>
              </w:rPr>
              <w:t>программных и аппаратных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Pr="00201BEA">
              <w:rPr>
                <w:b w:val="0"/>
              </w:rPr>
              <w:t>Настройки</w:t>
            </w:r>
            <w:r w:rsidRPr="00201BEA">
              <w:rPr>
                <w:b w:val="0"/>
                <w:spacing w:val="-2"/>
              </w:rPr>
              <w:t xml:space="preserve"> </w:t>
            </w:r>
            <w:r w:rsidRPr="00201BEA">
              <w:rPr>
                <w:b w:val="0"/>
              </w:rPr>
              <w:t>системы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обновлений</w:t>
            </w:r>
          </w:p>
          <w:p w:rsidR="007F12D4" w:rsidRDefault="007F12D4"/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Pr="00201BEA">
              <w:t>Создание образа системы. Восстановление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480274">
              <w:rPr>
                <w:b w:val="0"/>
              </w:rPr>
              <w:t xml:space="preserve">Разработка </w:t>
            </w:r>
            <w:r w:rsidRPr="00201BEA">
              <w:rPr>
                <w:b w:val="0"/>
              </w:rPr>
              <w:t>модулей</w:t>
            </w:r>
            <w:r w:rsidRPr="00201BEA">
              <w:rPr>
                <w:b w:val="0"/>
                <w:spacing w:val="-57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средства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Настройка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сетевого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доступа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t>Тема 3.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методы обеспечения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Pr="00890D3F">
              <w:t>Тестирование программных</w:t>
            </w:r>
          </w:p>
          <w:p w:rsidR="007F12D4" w:rsidRDefault="00890D3F" w:rsidP="00890D3F">
            <w:r w:rsidRPr="00890D3F">
              <w:t>продуктов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Pr="00890D3F">
              <w:t>Сравнение результатов тестирования с требованиями технического задания и/или спецификацией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pStyle w:val="110"/>
              <w:spacing w:before="1"/>
              <w:ind w:left="0"/>
              <w:rPr>
                <w:b w:val="0"/>
                <w:sz w:val="24"/>
              </w:rPr>
            </w:pPr>
            <w:r w:rsidRPr="005D37B3">
              <w:rPr>
                <w:sz w:val="24"/>
              </w:rPr>
              <w:t>Практическая</w:t>
            </w:r>
            <w:r w:rsidRPr="005D37B3">
              <w:rPr>
                <w:spacing w:val="-2"/>
                <w:sz w:val="24"/>
              </w:rPr>
              <w:t xml:space="preserve"> </w:t>
            </w:r>
            <w:r w:rsidRPr="005D37B3">
              <w:rPr>
                <w:sz w:val="24"/>
              </w:rPr>
              <w:t>работа</w:t>
            </w:r>
            <w:r w:rsidRPr="005D37B3">
              <w:rPr>
                <w:spacing w:val="-5"/>
                <w:sz w:val="24"/>
              </w:rPr>
              <w:t xml:space="preserve"> </w:t>
            </w:r>
            <w:r w:rsidRPr="005D37B3">
              <w:rPr>
                <w:sz w:val="24"/>
              </w:rPr>
              <w:t>№</w:t>
            </w:r>
            <w:r w:rsidRPr="005D37B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Pr="005D37B3">
              <w:rPr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Анализ</w:t>
            </w:r>
            <w:r w:rsidRPr="00890D3F">
              <w:rPr>
                <w:b w:val="0"/>
                <w:spacing w:val="-5"/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рисков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Pr="00890D3F">
              <w:t>Обнаружение вируса и устранение последствий его влияния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:rsidTr="00480274">
        <w:trPr>
          <w:trHeight w:val="421"/>
        </w:trPr>
        <w:tc>
          <w:tcPr>
            <w:tcW w:w="124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>Тема 4.2. Методы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компьютерных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стем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6B7DE3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r w:rsidRPr="00890D3F">
              <w:t>Установка и настройка антивируса. Настройка обновлений с помощью зеркала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5F3403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Pr="00890D3F">
              <w:t>Настройка политики безопасности Цель работы: ознакомиться с методами ограничения доступа к информации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Pr="00890D3F">
              <w:t xml:space="preserve">Настройка программы-браузера </w:t>
            </w:r>
          </w:p>
        </w:tc>
        <w:tc>
          <w:tcPr>
            <w:tcW w:w="1119" w:type="dxa"/>
            <w:shd w:val="clear" w:color="auto" w:fill="auto"/>
          </w:tcPr>
          <w:p w:rsidR="00890D3F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Pr="00890D3F">
              <w:t>Работа с реестром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Pr="00890D3F">
              <w:t>Работа с программой восстановления файлов и</w:t>
            </w:r>
          </w:p>
          <w:p w:rsidR="00890D3F" w:rsidRPr="00890D3F" w:rsidRDefault="00890D3F" w:rsidP="00890D3F">
            <w:r w:rsidRPr="00890D3F">
              <w:t>очистки дисков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заданий  в  электронном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Studio;</w:t>
      </w:r>
    </w:p>
    <w:p w:rsidR="00AB2998" w:rsidRDefault="003F58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C18F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BC18FA">
        <w:rPr>
          <w:color w:val="000000"/>
          <w:sz w:val="28"/>
          <w:szCs w:val="28"/>
        </w:rPr>
        <w:t>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Beans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IDE, Eclipse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for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Developers – свободные кросс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Sublime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Жоголев, Е.А. Технология программирования.-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студ.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сред.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проф.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 JDK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</w:t>
      </w:r>
      <w:r w:rsidRPr="003F58E9">
        <w:rPr>
          <w:sz w:val="28"/>
          <w:szCs w:val="28"/>
          <w:lang w:val="en-US"/>
        </w:rPr>
        <w:t>PHP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MySQL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Java</w:t>
      </w:r>
      <w:r w:rsidR="003F58E9" w:rsidRPr="00E202A0">
        <w:rPr>
          <w:sz w:val="28"/>
          <w:szCs w:val="28"/>
        </w:rPr>
        <w:t xml:space="preserve"> </w:t>
      </w:r>
      <w:r w:rsidRPr="003F58E9">
        <w:rPr>
          <w:sz w:val="28"/>
          <w:szCs w:val="28"/>
          <w:lang w:val="en-US"/>
        </w:rPr>
        <w:t>Script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CSS</w:t>
      </w:r>
      <w:r>
        <w:rPr>
          <w:sz w:val="28"/>
          <w:szCs w:val="28"/>
        </w:rPr>
        <w:t>и</w:t>
      </w:r>
      <w:r w:rsidRPr="003F58E9">
        <w:rPr>
          <w:sz w:val="28"/>
          <w:szCs w:val="28"/>
          <w:lang w:val="en-US"/>
        </w:rPr>
        <w:t>HTML</w:t>
      </w:r>
      <w:r w:rsidRPr="00E202A0">
        <w:rPr>
          <w:sz w:val="28"/>
          <w:szCs w:val="28"/>
        </w:rPr>
        <w:t xml:space="preserve">5. </w:t>
      </w:r>
      <w:r>
        <w:rPr>
          <w:sz w:val="28"/>
          <w:szCs w:val="28"/>
        </w:rPr>
        <w:t>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 – сайт фирмы Oracle, содержащий материалы по технологиям Java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учебник 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bookmarkStart w:id="6" w:name="_GoBack"/>
      <w:bookmarkEnd w:id="6"/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 w:rsidP="00797EAA">
            <w:pPr>
              <w:spacing w:line="360" w:lineRule="auto"/>
            </w:pPr>
            <w:r>
              <w:t>ПК 4.1.</w:t>
            </w:r>
            <w: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735241" w:rsidRDefault="00735241" w:rsidP="00797EAA">
            <w:pPr>
              <w:spacing w:line="360" w:lineRule="auto"/>
            </w:pPr>
            <w:r>
              <w:t>ПК 4.2</w:t>
            </w:r>
            <w: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735241" w:rsidRDefault="00735241" w:rsidP="00797EAA">
            <w:pPr>
              <w:spacing w:line="360" w:lineRule="auto"/>
            </w:pPr>
            <w:r>
              <w:t>ПК 4.3</w:t>
            </w:r>
            <w: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735241" w:rsidRDefault="00735241" w:rsidP="00797EAA">
            <w:pPr>
              <w:spacing w:line="360" w:lineRule="auto"/>
            </w:pPr>
            <w:r>
              <w:t>ПК 4.4</w:t>
            </w:r>
            <w: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C855EB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 xml:space="preserve">Выбирать способы решения задач профессиональной деятельности </w:t>
            </w:r>
            <w:r w:rsidRPr="00A32C0A">
              <w:lastRenderedPageBreak/>
              <w:t>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lastRenderedPageBreak/>
              <w:t xml:space="preserve">обоснованность постановки цели, выбора и применения методов и способов решения </w:t>
            </w:r>
            <w:r>
              <w:lastRenderedPageBreak/>
              <w:t>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lastRenderedPageBreak/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титульного листа дневника учебной 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BD" w:rsidRDefault="00CF7EBD">
      <w:r>
        <w:separator/>
      </w:r>
    </w:p>
  </w:endnote>
  <w:endnote w:type="continuationSeparator" w:id="0">
    <w:p w:rsidR="00CF7EBD" w:rsidRDefault="00CF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Arial Unicode MS"/>
    <w:charset w:val="80"/>
    <w:family w:val="swiss"/>
    <w:pitch w:val="variable"/>
    <w:sig w:usb0="E00002FF" w:usb1="2AC7FDFF" w:usb2="00000016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202A0">
      <w:rPr>
        <w:noProof/>
        <w:color w:val="000000"/>
      </w:rPr>
      <w:t>3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202A0">
      <w:rPr>
        <w:noProof/>
        <w:color w:val="000000"/>
      </w:rPr>
      <w:t>16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BD" w:rsidRDefault="00CF7EBD">
      <w:r>
        <w:separator/>
      </w:r>
    </w:p>
  </w:footnote>
  <w:footnote w:type="continuationSeparator" w:id="0">
    <w:p w:rsidR="00CF7EBD" w:rsidRDefault="00CF7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8"/>
  </w:num>
  <w:num w:numId="9">
    <w:abstractNumId w:val="7"/>
  </w:num>
  <w:num w:numId="10">
    <w:abstractNumId w:val="2"/>
  </w:num>
  <w:num w:numId="11">
    <w:abstractNumId w:val="27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4"/>
  </w:num>
  <w:num w:numId="18">
    <w:abstractNumId w:val="25"/>
  </w:num>
  <w:num w:numId="19">
    <w:abstractNumId w:val="26"/>
  </w:num>
  <w:num w:numId="20">
    <w:abstractNumId w:val="2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3"/>
  </w:num>
  <w:num w:numId="26">
    <w:abstractNumId w:val="4"/>
  </w:num>
  <w:num w:numId="27">
    <w:abstractNumId w:val="8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D60A3"/>
    <w:rsid w:val="0011126C"/>
    <w:rsid w:val="00135382"/>
    <w:rsid w:val="001A4671"/>
    <w:rsid w:val="001F30EC"/>
    <w:rsid w:val="002010E9"/>
    <w:rsid w:val="00201BEA"/>
    <w:rsid w:val="002D0649"/>
    <w:rsid w:val="0030708C"/>
    <w:rsid w:val="003B4C68"/>
    <w:rsid w:val="003F58E9"/>
    <w:rsid w:val="00444EE4"/>
    <w:rsid w:val="00461806"/>
    <w:rsid w:val="00480274"/>
    <w:rsid w:val="00674288"/>
    <w:rsid w:val="00690BEC"/>
    <w:rsid w:val="006B7DE3"/>
    <w:rsid w:val="006F1347"/>
    <w:rsid w:val="00735241"/>
    <w:rsid w:val="007F12D4"/>
    <w:rsid w:val="00875981"/>
    <w:rsid w:val="00890D3F"/>
    <w:rsid w:val="0091189E"/>
    <w:rsid w:val="00921B85"/>
    <w:rsid w:val="0095330D"/>
    <w:rsid w:val="00A24B2D"/>
    <w:rsid w:val="00A25102"/>
    <w:rsid w:val="00AA48E7"/>
    <w:rsid w:val="00AB2998"/>
    <w:rsid w:val="00BC18FA"/>
    <w:rsid w:val="00C63E7D"/>
    <w:rsid w:val="00C855EB"/>
    <w:rsid w:val="00CD1CA8"/>
    <w:rsid w:val="00CE5F54"/>
    <w:rsid w:val="00CF7EBD"/>
    <w:rsid w:val="00E202A0"/>
    <w:rsid w:val="00F05D6E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542E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IJCJLm+IOvfnsjnA+wd5vnLjJYU+XXX8svwg4wlehAg=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SxTOBGhAYxv1WqqOo1mrrr6R+awo4R55xd5o0rlvjyg=</DigestValue>
    </Reference>
  </SignedInfo>
  <SignatureValue>hbN7GpANADMvV/UR7unHMdGfv5sP6NTEtNHNWRmTkKJZmV8McfM0vHhkNhEkKcc4
PYsd3CSYqaag4MAGdchXUw==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5on/R8uij5aWUuKX6J6bCfU1Tt4=</DigestValue>
      </Reference>
      <Reference URI="/word/document.xml?ContentType=application/vnd.openxmlformats-officedocument.wordprocessingml.document.main+xml">
        <DigestMethod Algorithm="http://www.w3.org/2000/09/xmldsig#sha1"/>
        <DigestValue>BlvWPGsGM34rdac+aMfXxqFG450=</DigestValue>
      </Reference>
      <Reference URI="/word/endnotes.xml?ContentType=application/vnd.openxmlformats-officedocument.wordprocessingml.endnotes+xml">
        <DigestMethod Algorithm="http://www.w3.org/2000/09/xmldsig#sha1"/>
        <DigestValue>Il/s/G+JonXwKgr12pqWHNb1SH0=</DigestValue>
      </Reference>
      <Reference URI="/word/fontTable.xml?ContentType=application/vnd.openxmlformats-officedocument.wordprocessingml.fontTable+xml">
        <DigestMethod Algorithm="http://www.w3.org/2000/09/xmldsig#sha1"/>
        <DigestValue>HyaNCMcyKc1JGDrru8KbjJ5PbDQ=</DigestValue>
      </Reference>
      <Reference URI="/word/footer1.xml?ContentType=application/vnd.openxmlformats-officedocument.wordprocessingml.footer+xml">
        <DigestMethod Algorithm="http://www.w3.org/2000/09/xmldsig#sha1"/>
        <DigestValue>KNXZCEO+ADu0rkBwwOCy1uwKWxU=</DigestValue>
      </Reference>
      <Reference URI="/word/footer2.xml?ContentType=application/vnd.openxmlformats-officedocument.wordprocessingml.footer+xml">
        <DigestMethod Algorithm="http://www.w3.org/2000/09/xmldsig#sha1"/>
        <DigestValue>DzxjOEUpkO+VgJtZxXcGf6zLz5s=</DigestValue>
      </Reference>
      <Reference URI="/word/footer3.xml?ContentType=application/vnd.openxmlformats-officedocument.wordprocessingml.footer+xml">
        <DigestMethod Algorithm="http://www.w3.org/2000/09/xmldsig#sha1"/>
        <DigestValue>CeAyWPP5vbr3MyOI/HyWviInngw=</DigestValue>
      </Reference>
      <Reference URI="/word/footnotes.xml?ContentType=application/vnd.openxmlformats-officedocument.wordprocessingml.footnotes+xml">
        <DigestMethod Algorithm="http://www.w3.org/2000/09/xmldsig#sha1"/>
        <DigestValue>m3WCiCTHHQj06SjQVzTptM8qTbg=</DigestValue>
      </Reference>
      <Reference URI="/word/numbering.xml?ContentType=application/vnd.openxmlformats-officedocument.wordprocessingml.numbering+xml">
        <DigestMethod Algorithm="http://www.w3.org/2000/09/xmldsig#sha1"/>
        <DigestValue>CMN7EOFJovxDzc7g7/P+2pHUds0=</DigestValue>
      </Reference>
      <Reference URI="/word/settings.xml?ContentType=application/vnd.openxmlformats-officedocument.wordprocessingml.settings+xml">
        <DigestMethod Algorithm="http://www.w3.org/2000/09/xmldsig#sha1"/>
        <DigestValue>7ZllxJl1hvCqboPmgYjSrL9j/qc=</DigestValue>
      </Reference>
      <Reference URI="/word/styles.xml?ContentType=application/vnd.openxmlformats-officedocument.wordprocessingml.styles+xml">
        <DigestMethod Algorithm="http://www.w3.org/2000/09/xmldsig#sha1"/>
        <DigestValue>41ip+MXhqAmWYO6bmdULLop4xDM=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2025-06-03T12:31:09Z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E7E658-E7E0-4BD8-804B-AA04A3A1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3617</Words>
  <Characters>20622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15</cp:revision>
  <dcterms:created xsi:type="dcterms:W3CDTF">2022-08-29T15:09:00Z</dcterms:created>
  <dcterms:modified xsi:type="dcterms:W3CDTF">2025-05-13T13:31:00Z</dcterms:modified>
</cp:coreProperties>
</file>